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408" w:rsidRDefault="00657408" w:rsidP="003B31F1">
      <w:pPr>
        <w:jc w:val="both"/>
        <w:rPr>
          <w:b/>
        </w:rPr>
      </w:pPr>
      <w:r>
        <w:rPr>
          <w:b/>
        </w:rPr>
        <w:t xml:space="preserve">AUDIENCIA PROVINCIAL </w:t>
      </w:r>
    </w:p>
    <w:p w:rsidR="00657408" w:rsidRDefault="00657408" w:rsidP="003B31F1">
      <w:pPr>
        <w:jc w:val="both"/>
        <w:rPr>
          <w:b/>
        </w:rPr>
      </w:pPr>
    </w:p>
    <w:p w:rsidR="00657408" w:rsidRDefault="00657408" w:rsidP="003B31F1">
      <w:pPr>
        <w:jc w:val="both"/>
        <w:rPr>
          <w:b/>
        </w:rPr>
      </w:pPr>
      <w:r>
        <w:rPr>
          <w:b/>
        </w:rPr>
        <w:tab/>
        <w:t>BARCELONA</w:t>
      </w:r>
    </w:p>
    <w:p w:rsidR="00657408" w:rsidRDefault="00657408" w:rsidP="003B31F1">
      <w:pPr>
        <w:jc w:val="both"/>
        <w:rPr>
          <w:b/>
        </w:rPr>
      </w:pPr>
    </w:p>
    <w:p w:rsidR="00657408" w:rsidRPr="00920987" w:rsidRDefault="00657408" w:rsidP="003B31F1">
      <w:pPr>
        <w:jc w:val="both"/>
        <w:rPr>
          <w:b/>
        </w:rPr>
      </w:pPr>
      <w:r>
        <w:rPr>
          <w:b/>
        </w:rPr>
        <w:t xml:space="preserve">               Presidencia</w:t>
      </w:r>
    </w:p>
    <w:p w:rsidR="00657408" w:rsidRDefault="00657408" w:rsidP="003B31F1">
      <w:pPr>
        <w:jc w:val="both"/>
        <w:rPr>
          <w:b/>
        </w:rPr>
      </w:pPr>
    </w:p>
    <w:p w:rsidR="00657408" w:rsidRDefault="00657408" w:rsidP="003B31F1">
      <w:pPr>
        <w:jc w:val="both"/>
      </w:pPr>
    </w:p>
    <w:p w:rsidR="00657408" w:rsidRDefault="00657408" w:rsidP="003B31F1">
      <w:pPr>
        <w:jc w:val="both"/>
      </w:pPr>
      <w:r>
        <w:t xml:space="preserve">La entrada en vigor de la Ley 37/2011, de 10 de octubre, de medidas de agilización procesal, aconseja unificar el tratamiento procesal de diversas cuestiones, facilitando así tanto la actuación profesional de Abogados y Procuradores, como la labor de los Órganos Jurisdiccionales de Instancia y de las distintas Secciones de la Audiencia Provincial de Barcelona; pero, fundamentalmente, aportando el elemento de seguridad jurídica que exigen los ciudadanos en general y más particularmente quienes se ven obligados a litigar ante los Tribunales. </w:t>
      </w:r>
    </w:p>
    <w:p w:rsidR="00657408" w:rsidRDefault="00657408" w:rsidP="003B31F1">
      <w:pPr>
        <w:jc w:val="both"/>
      </w:pPr>
    </w:p>
    <w:p w:rsidR="00657408" w:rsidRDefault="00657408" w:rsidP="003B31F1">
      <w:pPr>
        <w:jc w:val="both"/>
      </w:pPr>
      <w:r>
        <w:t>Con este objetivo, y bajo esta Presidencia Provincial, los Presidentes de las Secciones Civiles de la Audiencia Provincial de Barcelona  concernidas (Secciones Primera, Cuarta, Undécima, Décimo-Tercera,  Décimo-Cuarta, Décimo-Sexta, Décimo-Séptima y Décimo-Novena), así como los Magistrados que las integran, han adoptado los siguientes acuerdos:</w:t>
      </w:r>
    </w:p>
    <w:p w:rsidR="00657408" w:rsidRDefault="00657408" w:rsidP="003B31F1">
      <w:pPr>
        <w:jc w:val="both"/>
      </w:pPr>
    </w:p>
    <w:p w:rsidR="00657408" w:rsidRDefault="00657408" w:rsidP="00871B69">
      <w:pPr>
        <w:pStyle w:val="ListParagraph"/>
        <w:numPr>
          <w:ilvl w:val="0"/>
          <w:numId w:val="2"/>
        </w:numPr>
        <w:jc w:val="both"/>
      </w:pPr>
      <w:r w:rsidRPr="00871B69">
        <w:t>La Disposición Transitoria única de la Ley 37/2011, de 10 de octubre, debe interpretarse en el sentido de que los recursos de apelación presentados contra las sentencias dictadas con posterioridad a la entrada en vigor de dicha Ley (</w:t>
      </w:r>
      <w:r>
        <w:t xml:space="preserve">el 31 de octubre </w:t>
      </w:r>
      <w:r w:rsidRPr="00871B69">
        <w:t>de 2011), se acomodarán, en cuanto a su viabilidad y tramitación, a las normas procesales que se establecen en la nueva regulación</w:t>
      </w:r>
      <w:r>
        <w:t xml:space="preserve"> (Acuerdo adoptado por unanimidad)</w:t>
      </w:r>
      <w:r w:rsidRPr="00871B69">
        <w:t>.</w:t>
      </w:r>
    </w:p>
    <w:p w:rsidR="00657408" w:rsidRDefault="00657408" w:rsidP="00871B69">
      <w:pPr>
        <w:pStyle w:val="ListParagraph"/>
        <w:jc w:val="both"/>
      </w:pPr>
    </w:p>
    <w:p w:rsidR="00657408" w:rsidRDefault="00657408" w:rsidP="00C63797">
      <w:pPr>
        <w:pStyle w:val="ListParagraph"/>
        <w:numPr>
          <w:ilvl w:val="0"/>
          <w:numId w:val="2"/>
        </w:numPr>
        <w:jc w:val="both"/>
      </w:pPr>
      <w:r w:rsidRPr="00871B69">
        <w:t>El artículo 455.1 de la LEC debe interpretarse en el sentido de que los autos definitivos y aquéllos otros que la ley expresamente señale como apelables dictados en juicios verbales seguidos por razón de la cuantía serán susceptibles de recurso de apelación aún cuando ésta no supere los 3.000 euros</w:t>
      </w:r>
      <w:r>
        <w:t xml:space="preserve"> (Acuerdo adoptado por unanimidad)</w:t>
      </w:r>
      <w:r w:rsidRPr="00871B69">
        <w:t>.</w:t>
      </w:r>
    </w:p>
    <w:p w:rsidR="00657408" w:rsidRDefault="00657408" w:rsidP="00B24BBA">
      <w:pPr>
        <w:jc w:val="both"/>
      </w:pPr>
    </w:p>
    <w:p w:rsidR="00657408" w:rsidRDefault="00657408" w:rsidP="00C63797">
      <w:pPr>
        <w:pStyle w:val="ListParagraph"/>
        <w:numPr>
          <w:ilvl w:val="0"/>
          <w:numId w:val="2"/>
        </w:numPr>
        <w:jc w:val="both"/>
      </w:pPr>
      <w:r w:rsidRPr="00B24BBA">
        <w:t xml:space="preserve">Debe admitirse el recurso de apelación cuando se haya producido la acumulación de una acción por razón de la materia y otra por razón de la cuantía y con importe inferior a 3.000 euros. El juicio verbal de desahucio </w:t>
      </w:r>
      <w:r>
        <w:t>es</w:t>
      </w:r>
      <w:r w:rsidRPr="00B24BBA">
        <w:t xml:space="preserve"> siempre </w:t>
      </w:r>
      <w:r>
        <w:t xml:space="preserve">susceptible de </w:t>
      </w:r>
      <w:r w:rsidRPr="00B24BBA">
        <w:t xml:space="preserve">recurso de apelación, </w:t>
      </w:r>
      <w:r>
        <w:t>c</w:t>
      </w:r>
      <w:r w:rsidRPr="00B24BBA">
        <w:t>ualquiera que sea la cuantía de la renta</w:t>
      </w:r>
      <w:r>
        <w:t xml:space="preserve"> (Acuerdo adoptado por unanimidad)</w:t>
      </w:r>
      <w:r w:rsidRPr="00B24BBA">
        <w:t>.</w:t>
      </w:r>
    </w:p>
    <w:p w:rsidR="00657408" w:rsidRDefault="00657408" w:rsidP="001B59E6">
      <w:pPr>
        <w:pStyle w:val="Prrafodelista1"/>
        <w:ind w:left="0"/>
        <w:jc w:val="both"/>
      </w:pPr>
    </w:p>
    <w:p w:rsidR="00657408" w:rsidRDefault="00657408" w:rsidP="002912AE">
      <w:pPr>
        <w:pStyle w:val="Prrafodelista1"/>
        <w:numPr>
          <w:ilvl w:val="0"/>
          <w:numId w:val="2"/>
        </w:numPr>
        <w:jc w:val="both"/>
      </w:pPr>
      <w:r>
        <w:t>En el juicio cambiario, por tratarse de un juicio especial, las sentencias dictadas tras la entrada en vigor de la nueva Ley</w:t>
      </w:r>
      <w:r w:rsidRPr="003C08D2">
        <w:t xml:space="preserve"> </w:t>
      </w:r>
      <w:r>
        <w:t xml:space="preserve">serán susceptibles de recurso de apelación, aunque se haya seguido por importe inferior a 3.000 euros., sin que afecte a ello la remisión indirecta del art. 826 LEC a los arts. 440 y 443 LEC. </w:t>
      </w:r>
    </w:p>
    <w:p w:rsidR="00657408" w:rsidRDefault="00657408" w:rsidP="002912AE">
      <w:pPr>
        <w:pStyle w:val="Prrafodelista1"/>
        <w:ind w:left="0"/>
        <w:jc w:val="both"/>
      </w:pPr>
    </w:p>
    <w:p w:rsidR="00657408" w:rsidRDefault="00657408" w:rsidP="001B59E6">
      <w:pPr>
        <w:pStyle w:val="Prrafodelista1"/>
        <w:numPr>
          <w:ilvl w:val="0"/>
          <w:numId w:val="2"/>
        </w:numPr>
        <w:jc w:val="both"/>
      </w:pPr>
      <w:r>
        <w:t xml:space="preserve">Acabado el proceso monitorio por la oposición del deudor, las sentencias dictadas en los juicios verbales subsiguientes (art. 818.2 LEC) de cuantía inferior a 3.000 euros (art. 812.2 de la LEC), no serán susceptible de recurso de apelación (Acuerdo adoptado por unanimidad). </w:t>
      </w:r>
    </w:p>
    <w:p w:rsidR="00657408" w:rsidRDefault="00657408" w:rsidP="001B59E6">
      <w:pPr>
        <w:pStyle w:val="Prrafodelista1"/>
        <w:ind w:left="0"/>
        <w:jc w:val="both"/>
      </w:pPr>
    </w:p>
    <w:p w:rsidR="00657408" w:rsidRPr="00350334" w:rsidRDefault="00657408" w:rsidP="001B59E6">
      <w:pPr>
        <w:pStyle w:val="Prrafodelista1"/>
        <w:numPr>
          <w:ilvl w:val="0"/>
          <w:numId w:val="2"/>
        </w:numPr>
        <w:jc w:val="both"/>
      </w:pPr>
      <w:r w:rsidRPr="00350334">
        <w:t>La</w:t>
      </w:r>
      <w:r>
        <w:t xml:space="preserve"> nueva redacción </w:t>
      </w:r>
      <w:r w:rsidRPr="00350334">
        <w:t xml:space="preserve">del artículo 548 de la LEC </w:t>
      </w:r>
      <w:r>
        <w:t xml:space="preserve">comporta que el dies a </w:t>
      </w:r>
      <w:r w:rsidRPr="00350334">
        <w:rPr>
          <w:i/>
        </w:rPr>
        <w:t>a quo</w:t>
      </w:r>
      <w:r>
        <w:t xml:space="preserve"> para computar el plazo </w:t>
      </w:r>
      <w:r w:rsidRPr="00350334">
        <w:t xml:space="preserve">para el despacho de la ejecución no queda ya fijado en la fecha de la notificación de la resolución de condena, sino en el día que </w:t>
      </w:r>
      <w:r w:rsidRPr="00350334">
        <w:rPr>
          <w:rFonts w:cs="Arial"/>
          <w:color w:val="000000"/>
        </w:rPr>
        <w:t>en que la resolución de condena sea firme</w:t>
      </w:r>
      <w:r>
        <w:rPr>
          <w:rFonts w:cs="Arial"/>
          <w:color w:val="000000"/>
        </w:rPr>
        <w:t>, lo que</w:t>
      </w:r>
      <w:r w:rsidRPr="00350334">
        <w:rPr>
          <w:rFonts w:cs="Arial"/>
          <w:color w:val="000000"/>
        </w:rPr>
        <w:t xml:space="preserve"> </w:t>
      </w:r>
      <w:r w:rsidRPr="00350334">
        <w:t xml:space="preserve">determina una ampliación del plazo anteriormente establecido para despachar ejecución de resoluciones procesales o arbitrales, </w:t>
      </w:r>
      <w:r>
        <w:t xml:space="preserve">ahora de </w:t>
      </w:r>
      <w:r w:rsidRPr="00350334">
        <w:t>veinte días</w:t>
      </w:r>
      <w:r>
        <w:t xml:space="preserve"> desde que finalice el plazo para recurrir, a computar desde la última notificación de la resolución de condena (Acuerdo adoptado por unanimidad)</w:t>
      </w:r>
      <w:r w:rsidRPr="00350334">
        <w:t xml:space="preserve">. </w:t>
      </w:r>
    </w:p>
    <w:p w:rsidR="00657408" w:rsidRDefault="00657408" w:rsidP="00E545C2">
      <w:pPr>
        <w:jc w:val="both"/>
      </w:pPr>
    </w:p>
    <w:p w:rsidR="00657408" w:rsidRPr="007A1BA4" w:rsidRDefault="00657408" w:rsidP="00E545C2">
      <w:pPr>
        <w:jc w:val="both"/>
      </w:pPr>
      <w:r>
        <w:t xml:space="preserve">Se acuerda divulgar los presentes acuerdos, a los efectos procesales oportunos, en </w:t>
      </w:r>
    </w:p>
    <w:sectPr w:rsidR="00657408" w:rsidRPr="007A1BA4" w:rsidSect="000F42C5">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altName w:val="Courier New"/>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A51E9"/>
    <w:multiLevelType w:val="hybridMultilevel"/>
    <w:tmpl w:val="478412AE"/>
    <w:lvl w:ilvl="0" w:tplc="A45E3268">
      <w:start w:val="1"/>
      <w:numFmt w:val="upperLetter"/>
      <w:lvlText w:val="%1)"/>
      <w:lvlJc w:val="left"/>
      <w:pPr>
        <w:ind w:left="1768" w:hanging="1060"/>
      </w:pPr>
      <w:rPr>
        <w:rFonts w:cs="Times New Roman" w:hint="default"/>
      </w:rPr>
    </w:lvl>
    <w:lvl w:ilvl="1" w:tplc="040A0019" w:tentative="1">
      <w:start w:val="1"/>
      <w:numFmt w:val="lowerLetter"/>
      <w:lvlText w:val="%2."/>
      <w:lvlJc w:val="left"/>
      <w:pPr>
        <w:ind w:left="1788" w:hanging="360"/>
      </w:pPr>
      <w:rPr>
        <w:rFonts w:cs="Times New Roman"/>
      </w:rPr>
    </w:lvl>
    <w:lvl w:ilvl="2" w:tplc="040A001B" w:tentative="1">
      <w:start w:val="1"/>
      <w:numFmt w:val="lowerRoman"/>
      <w:lvlText w:val="%3."/>
      <w:lvlJc w:val="right"/>
      <w:pPr>
        <w:ind w:left="2508" w:hanging="180"/>
      </w:pPr>
      <w:rPr>
        <w:rFonts w:cs="Times New Roman"/>
      </w:rPr>
    </w:lvl>
    <w:lvl w:ilvl="3" w:tplc="040A000F" w:tentative="1">
      <w:start w:val="1"/>
      <w:numFmt w:val="decimal"/>
      <w:lvlText w:val="%4."/>
      <w:lvlJc w:val="left"/>
      <w:pPr>
        <w:ind w:left="3228" w:hanging="360"/>
      </w:pPr>
      <w:rPr>
        <w:rFonts w:cs="Times New Roman"/>
      </w:rPr>
    </w:lvl>
    <w:lvl w:ilvl="4" w:tplc="040A0019" w:tentative="1">
      <w:start w:val="1"/>
      <w:numFmt w:val="lowerLetter"/>
      <w:lvlText w:val="%5."/>
      <w:lvlJc w:val="left"/>
      <w:pPr>
        <w:ind w:left="3948" w:hanging="360"/>
      </w:pPr>
      <w:rPr>
        <w:rFonts w:cs="Times New Roman"/>
      </w:rPr>
    </w:lvl>
    <w:lvl w:ilvl="5" w:tplc="040A001B" w:tentative="1">
      <w:start w:val="1"/>
      <w:numFmt w:val="lowerRoman"/>
      <w:lvlText w:val="%6."/>
      <w:lvlJc w:val="right"/>
      <w:pPr>
        <w:ind w:left="4668" w:hanging="180"/>
      </w:pPr>
      <w:rPr>
        <w:rFonts w:cs="Times New Roman"/>
      </w:rPr>
    </w:lvl>
    <w:lvl w:ilvl="6" w:tplc="040A000F" w:tentative="1">
      <w:start w:val="1"/>
      <w:numFmt w:val="decimal"/>
      <w:lvlText w:val="%7."/>
      <w:lvlJc w:val="left"/>
      <w:pPr>
        <w:ind w:left="5388" w:hanging="360"/>
      </w:pPr>
      <w:rPr>
        <w:rFonts w:cs="Times New Roman"/>
      </w:rPr>
    </w:lvl>
    <w:lvl w:ilvl="7" w:tplc="040A0019" w:tentative="1">
      <w:start w:val="1"/>
      <w:numFmt w:val="lowerLetter"/>
      <w:lvlText w:val="%8."/>
      <w:lvlJc w:val="left"/>
      <w:pPr>
        <w:ind w:left="6108" w:hanging="360"/>
      </w:pPr>
      <w:rPr>
        <w:rFonts w:cs="Times New Roman"/>
      </w:rPr>
    </w:lvl>
    <w:lvl w:ilvl="8" w:tplc="040A001B" w:tentative="1">
      <w:start w:val="1"/>
      <w:numFmt w:val="lowerRoman"/>
      <w:lvlText w:val="%9."/>
      <w:lvlJc w:val="right"/>
      <w:pPr>
        <w:ind w:left="6828" w:hanging="180"/>
      </w:pPr>
      <w:rPr>
        <w:rFonts w:cs="Times New Roman"/>
      </w:rPr>
    </w:lvl>
  </w:abstractNum>
  <w:abstractNum w:abstractNumId="1">
    <w:nsid w:val="38FF5BB6"/>
    <w:multiLevelType w:val="hybridMultilevel"/>
    <w:tmpl w:val="5B1CB4C2"/>
    <w:lvl w:ilvl="0" w:tplc="213ECF76">
      <w:start w:val="1"/>
      <w:numFmt w:val="decimal"/>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284F"/>
    <w:rsid w:val="00042EAE"/>
    <w:rsid w:val="00072D6E"/>
    <w:rsid w:val="000F42C5"/>
    <w:rsid w:val="001A00E6"/>
    <w:rsid w:val="001B59E6"/>
    <w:rsid w:val="002912AE"/>
    <w:rsid w:val="00322428"/>
    <w:rsid w:val="0032799C"/>
    <w:rsid w:val="00350334"/>
    <w:rsid w:val="003647C9"/>
    <w:rsid w:val="003B31F1"/>
    <w:rsid w:val="003C08D2"/>
    <w:rsid w:val="00416608"/>
    <w:rsid w:val="004253D0"/>
    <w:rsid w:val="00535EEB"/>
    <w:rsid w:val="005865EC"/>
    <w:rsid w:val="00657408"/>
    <w:rsid w:val="00782D28"/>
    <w:rsid w:val="007A1BA4"/>
    <w:rsid w:val="00871B69"/>
    <w:rsid w:val="00920987"/>
    <w:rsid w:val="009269F6"/>
    <w:rsid w:val="009D40EF"/>
    <w:rsid w:val="00A7284F"/>
    <w:rsid w:val="00AC7B77"/>
    <w:rsid w:val="00B24BBA"/>
    <w:rsid w:val="00B37553"/>
    <w:rsid w:val="00B5600E"/>
    <w:rsid w:val="00B8528C"/>
    <w:rsid w:val="00BE680E"/>
    <w:rsid w:val="00C42791"/>
    <w:rsid w:val="00C63797"/>
    <w:rsid w:val="00DC15E4"/>
    <w:rsid w:val="00DF4629"/>
    <w:rsid w:val="00E12AC5"/>
    <w:rsid w:val="00E545C2"/>
    <w:rsid w:val="00FA1321"/>
  </w:rsids>
  <m:mathPr>
    <m:mathFont m:val="Cambria Math"/>
    <m:brkBin m:val="before"/>
    <m:brkBinSub m:val="--"/>
    <m:smallFrac m:val="off"/>
    <m:dispDef/>
    <m:lMargin m:val="0"/>
    <m:rMargin m:val="0"/>
    <m:defJc m:val="centerGroup"/>
    <m:wrapIndent m:val="1440"/>
    <m:intLim m:val="subSup"/>
    <m:naryLim m:val="undOvr"/>
  </m:mathPr>
  <w:uiCompat97To2003/>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ca-ES" w:eastAsia="ca-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_tradnl"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A7284F"/>
    <w:rPr>
      <w:rFonts w:cs="Times New Roman"/>
      <w:sz w:val="18"/>
      <w:szCs w:val="18"/>
    </w:rPr>
  </w:style>
  <w:style w:type="paragraph" w:styleId="CommentText">
    <w:name w:val="annotation text"/>
    <w:basedOn w:val="Normal"/>
    <w:link w:val="CommentTextChar"/>
    <w:uiPriority w:val="99"/>
    <w:semiHidden/>
    <w:rsid w:val="00A7284F"/>
  </w:style>
  <w:style w:type="character" w:customStyle="1" w:styleId="CommentTextChar">
    <w:name w:val="Comment Text Char"/>
    <w:basedOn w:val="DefaultParagraphFont"/>
    <w:link w:val="CommentText"/>
    <w:uiPriority w:val="99"/>
    <w:semiHidden/>
    <w:locked/>
    <w:rsid w:val="00A7284F"/>
    <w:rPr>
      <w:rFonts w:cs="Times New Roman"/>
    </w:rPr>
  </w:style>
  <w:style w:type="paragraph" w:styleId="CommentSubject">
    <w:name w:val="annotation subject"/>
    <w:basedOn w:val="CommentText"/>
    <w:next w:val="CommentText"/>
    <w:link w:val="CommentSubjectChar"/>
    <w:uiPriority w:val="99"/>
    <w:semiHidden/>
    <w:rsid w:val="00A7284F"/>
    <w:rPr>
      <w:b/>
      <w:bCs/>
      <w:sz w:val="20"/>
      <w:szCs w:val="20"/>
    </w:rPr>
  </w:style>
  <w:style w:type="character" w:customStyle="1" w:styleId="CommentSubjectChar">
    <w:name w:val="Comment Subject Char"/>
    <w:basedOn w:val="CommentTextChar"/>
    <w:link w:val="CommentSubject"/>
    <w:uiPriority w:val="99"/>
    <w:semiHidden/>
    <w:locked/>
    <w:rsid w:val="00A7284F"/>
    <w:rPr>
      <w:b/>
      <w:bCs/>
      <w:sz w:val="20"/>
      <w:szCs w:val="20"/>
    </w:rPr>
  </w:style>
  <w:style w:type="paragraph" w:styleId="BalloonText">
    <w:name w:val="Balloon Text"/>
    <w:basedOn w:val="Normal"/>
    <w:link w:val="BalloonTextChar"/>
    <w:uiPriority w:val="99"/>
    <w:semiHidden/>
    <w:rsid w:val="00A7284F"/>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A7284F"/>
    <w:rPr>
      <w:rFonts w:ascii="Lucida Grande" w:hAnsi="Lucida Grande" w:cs="Times New Roman"/>
      <w:sz w:val="18"/>
      <w:szCs w:val="18"/>
    </w:rPr>
  </w:style>
  <w:style w:type="paragraph" w:styleId="ListParagraph">
    <w:name w:val="List Paragraph"/>
    <w:basedOn w:val="Normal"/>
    <w:uiPriority w:val="99"/>
    <w:qFormat/>
    <w:rsid w:val="00B37553"/>
    <w:pPr>
      <w:ind w:left="720"/>
      <w:contextualSpacing/>
    </w:pPr>
  </w:style>
  <w:style w:type="paragraph" w:styleId="NormalWeb">
    <w:name w:val="Normal (Web)"/>
    <w:basedOn w:val="Normal"/>
    <w:uiPriority w:val="99"/>
    <w:rsid w:val="00B37553"/>
    <w:pPr>
      <w:spacing w:beforeLines="1" w:afterLines="1"/>
    </w:pPr>
    <w:rPr>
      <w:rFonts w:ascii="Times" w:hAnsi="Times"/>
      <w:sz w:val="20"/>
      <w:szCs w:val="20"/>
      <w:lang w:eastAsia="es-ES_tradnl"/>
    </w:rPr>
  </w:style>
  <w:style w:type="paragraph" w:customStyle="1" w:styleId="Prrafodelista1">
    <w:name w:val="Párrafo de lista1"/>
    <w:basedOn w:val="Normal"/>
    <w:uiPriority w:val="99"/>
    <w:rsid w:val="001B59E6"/>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1051077566">
      <w:marLeft w:val="0"/>
      <w:marRight w:val="0"/>
      <w:marTop w:val="0"/>
      <w:marBottom w:val="0"/>
      <w:divBdr>
        <w:top w:val="none" w:sz="0" w:space="0" w:color="auto"/>
        <w:left w:val="none" w:sz="0" w:space="0" w:color="auto"/>
        <w:bottom w:val="none" w:sz="0" w:space="0" w:color="auto"/>
        <w:right w:val="none" w:sz="0" w:space="0" w:color="auto"/>
      </w:divBdr>
    </w:div>
    <w:div w:id="1051077567">
      <w:marLeft w:val="0"/>
      <w:marRight w:val="0"/>
      <w:marTop w:val="0"/>
      <w:marBottom w:val="0"/>
      <w:divBdr>
        <w:top w:val="none" w:sz="0" w:space="0" w:color="auto"/>
        <w:left w:val="none" w:sz="0" w:space="0" w:color="auto"/>
        <w:bottom w:val="none" w:sz="0" w:space="0" w:color="auto"/>
        <w:right w:val="none" w:sz="0" w:space="0" w:color="auto"/>
      </w:divBdr>
    </w:div>
    <w:div w:id="1051077568">
      <w:marLeft w:val="0"/>
      <w:marRight w:val="0"/>
      <w:marTop w:val="0"/>
      <w:marBottom w:val="0"/>
      <w:divBdr>
        <w:top w:val="none" w:sz="0" w:space="0" w:color="auto"/>
        <w:left w:val="none" w:sz="0" w:space="0" w:color="auto"/>
        <w:bottom w:val="none" w:sz="0" w:space="0" w:color="auto"/>
        <w:right w:val="none" w:sz="0" w:space="0" w:color="auto"/>
      </w:divBdr>
    </w:div>
    <w:div w:id="105107756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494</Words>
  <Characters>2816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PROVINCIAL </dc:title>
  <dc:subject/>
  <dc:creator>Pablo Llarena Conde</dc:creator>
  <cp:keywords/>
  <dc:description/>
  <cp:lastModifiedBy>Departament de Justícia</cp:lastModifiedBy>
  <cp:revision>2</cp:revision>
  <dcterms:created xsi:type="dcterms:W3CDTF">2012-05-30T09:33:00Z</dcterms:created>
  <dcterms:modified xsi:type="dcterms:W3CDTF">2012-05-30T09:33:00Z</dcterms:modified>
</cp:coreProperties>
</file>